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EC" w:rsidRPr="00AC3523" w:rsidRDefault="003825EC" w:rsidP="003825EC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3825EC" w:rsidRDefault="003825EC" w:rsidP="003825EC">
      <w:pPr>
        <w:jc w:val="center"/>
      </w:pPr>
    </w:p>
    <w:p w:rsidR="003825EC" w:rsidRDefault="003825EC" w:rsidP="003825EC">
      <w:pPr>
        <w:jc w:val="center"/>
      </w:pPr>
    </w:p>
    <w:p w:rsidR="003825EC" w:rsidRDefault="003825EC" w:rsidP="003825EC">
      <w:pPr>
        <w:jc w:val="center"/>
      </w:pPr>
      <w:r>
        <w:t>KARTA KURSU (realizowanego w specjalności)</w:t>
      </w:r>
    </w:p>
    <w:p w:rsidR="003825EC" w:rsidRDefault="003825EC" w:rsidP="003825EC">
      <w:pPr>
        <w:jc w:val="center"/>
      </w:pPr>
      <w:r>
        <w:t>Bezpieczeństwo techniczne</w:t>
      </w:r>
    </w:p>
    <w:p w:rsidR="003825EC" w:rsidRDefault="003825EC" w:rsidP="003825EC">
      <w:pPr>
        <w:jc w:val="center"/>
      </w:pPr>
      <w:r>
        <w:t>(nazwa specjalności)</w:t>
      </w:r>
    </w:p>
    <w:p w:rsidR="003825EC" w:rsidRDefault="003825EC" w:rsidP="003825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8"/>
          <w:szCs w:val="20"/>
          <w:lang w:eastAsia="pl-PL"/>
        </w:rPr>
      </w:pPr>
    </w:p>
    <w:p w:rsidR="003825EC" w:rsidRDefault="003825EC" w:rsidP="003825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825EC" w:rsidTr="003825E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Awarie techniczne w przemyśle</w:t>
            </w:r>
          </w:p>
        </w:tc>
      </w:tr>
      <w:tr w:rsidR="003825EC" w:rsidTr="003825E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color w:val="353536"/>
                <w:sz w:val="18"/>
                <w:szCs w:val="20"/>
                <w:shd w:val="clear" w:color="auto" w:fill="EDEEF0"/>
              </w:rPr>
            </w:pPr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Technical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failures</w:t>
            </w:r>
            <w:proofErr w:type="spellEnd"/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 in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industry</w:t>
            </w:r>
            <w:proofErr w:type="spellEnd"/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825EC" w:rsidTr="003825E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825EC" w:rsidTr="003825E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</w:tr>
      <w:tr w:rsidR="003825EC" w:rsidTr="003825E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825EC" w:rsidTr="003825E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825EC" w:rsidRDefault="003825EC" w:rsidP="003825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825EC" w:rsidRDefault="003825EC" w:rsidP="003825E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przypadkami awarii technicznych mogących wystąpić w przemyśle oraz konsekwencjami z punktu widzenia technicznego, które mogą z nich wynikać. Student posiada wiedze praktyczną pozwalającą w sposób rzetelny zapobiegać awariom,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a jeśli już do nich dojdzie będzie potrafił ocenić realne zagrożenie i przedsięwziąć odpowiednie kroki w celu minimalizacji ich skutków. Student zdobędzie umiejętności opracowywania profesjonalnego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”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w zakresie awarii technicznych w różnych gałęziach gospodarki m.in. energetyce, przemyśle petrochemicznym, maszynowym, elektrycznym i elektronicznym itp. 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A412AB" w:rsidRPr="00C76DE0" w:rsidRDefault="00A412AB" w:rsidP="00A412A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412AB" w:rsidRPr="00C76DE0" w:rsidRDefault="00A412AB" w:rsidP="00A412A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12AB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412AB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412AB" w:rsidRPr="00C76DE0" w:rsidTr="00064740"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A412AB" w:rsidRDefault="00A412AB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A412AB" w:rsidRDefault="00A412AB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"/>
        <w:gridCol w:w="4925"/>
        <w:gridCol w:w="41"/>
        <w:gridCol w:w="2254"/>
      </w:tblGrid>
      <w:tr w:rsidR="003825EC" w:rsidTr="003825E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najważniejsze pojęcia i terminy stosowane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przepisach oraz dokumentach dotyczących awarii technicznych w przemyśle,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W02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strukturę i chronologię jaka obowiązuje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w metodzie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”,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wiedzę dotyczącą przypadków awarii technicznych m.in. w przemyśle energetycznym, petrochemicznym.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W02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W03</w:t>
            </w:r>
          </w:p>
        </w:tc>
      </w:tr>
      <w:tr w:rsidR="003825EC" w:rsidTr="003825EC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wyjaśnić znaczenie pojęć i terminów obowiązujących w przepisach i/lub dokumentacji, która jest stosowana w przypadku awarii technicznych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przemyśle,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opracować profesjonalne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” dla wybranego zagadnienia dotyczącego awarii technicznych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przemyśle,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na podstawie przeprowadzonego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 wysunąć wnioski, które będą zapobiegać w przyszłości podobnym sytuacją.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U04</w:t>
            </w:r>
          </w:p>
        </w:tc>
      </w:tr>
      <w:tr w:rsidR="003825EC" w:rsidTr="003825EC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sformułować i wyrazić w formie pisemnej i/lub ustnej opinie dotyczące zagrożeń, które mogą wynikać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zaistniałej awarii w technice, </w:t>
            </w:r>
          </w:p>
          <w:p w:rsidR="003825EC" w:rsidRDefault="003825E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zaistniałej awarii w technice,</w:t>
            </w:r>
          </w:p>
          <w:p w:rsidR="003825EC" w:rsidRDefault="003825E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K03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zastosować </w:t>
            </w:r>
            <w:r>
              <w:rPr>
                <w:rFonts w:ascii="Arial" w:hAnsi="Arial" w:cs="Arial"/>
                <w:sz w:val="18"/>
                <w:szCs w:val="20"/>
              </w:rPr>
              <w:t>zdobytą wiedzę i doświadczenie w komercyjnych rozwiązaniach.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K05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825EC" w:rsidTr="003825E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825EC" w:rsidTr="003825E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825EC" w:rsidTr="003825E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825EC" w:rsidTr="003825E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006CB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0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prowadzone są w formie konwersatorium. G</w:t>
            </w:r>
            <w:r>
              <w:rPr>
                <w:rFonts w:ascii="Arial" w:hAnsi="Arial" w:cs="Arial"/>
                <w:color w:val="FF0000"/>
                <w:sz w:val="18"/>
                <w:szCs w:val="20"/>
              </w:rPr>
              <w:t>ł</w:t>
            </w:r>
            <w:r>
              <w:rPr>
                <w:rFonts w:ascii="Arial" w:hAnsi="Arial" w:cs="Arial"/>
                <w:sz w:val="18"/>
                <w:szCs w:val="20"/>
              </w:rPr>
              <w:t xml:space="preserve">ówny aspekt dotyczy praktycznych zagadnień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obszaru awarii technicznych w przemyśle. Każdy z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 obejmuje inny obszar gospodarki. Podczas zaj</w:t>
            </w:r>
            <w:r>
              <w:rPr>
                <w:rFonts w:ascii="Arial" w:hAnsi="Arial" w:cs="Arial"/>
                <w:color w:val="FF0000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ć analizowane są zarówno przyczyny jak i skutki awarii. Student podczas zajęć ma możliwość pracy zarówno indywidulanej jak i grupowej co jest niewątpliwie istotną kwestią we współczesny świecie. 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825EC" w:rsidTr="003825E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825EC" w:rsidTr="003825E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825EC" w:rsidRDefault="003825EC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 xml:space="preserve">im. KEN w Krakowie. W przypadku konwersatorium Student zobowiązany jest zrealizować i zaliczyć wszystkie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” przewidziane w kursie praktycznym.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825EC" w:rsidTr="003825E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W przypadku nieobecności na konwersatorium Student jest zobowiązany do ich odrobienia w terminie ustalonym przez Prowadzącego. Brak zaliczenia „Case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study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” skutkuje niezaliczeniem konwersatorium.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 xml:space="preserve">Tematyka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”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” obejmuje na zajęciach tematykę z następujących obszarów gospodarki: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 Przemysł energetyczny z podziałem na energetykę konwencjonalną, jądrową i źródła odnawialne</w:t>
            </w:r>
            <w:r>
              <w:rPr>
                <w:rFonts w:ascii="Arial" w:hAnsi="Arial" w:cs="Arial"/>
                <w:strike/>
                <w:color w:val="FF0000"/>
                <w:sz w:val="18"/>
                <w:szCs w:val="20"/>
                <w:lang w:eastAsia="en-US"/>
              </w:rPr>
              <w:t>,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color w:val="FF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 Przemył petrochemiczny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 Przemysł budowlany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 Przemysł chemiczny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 Przemysł maszynowy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6 Przemysł elektryczny i elektroniczny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7 Przemysł informatyczny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8 Przemył motoryzacyjny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9 Przemysł spożywczy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 Przemył farmaceutyczny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Każdy z obszarów podlega szczegółowej analizie, w której zwracane są uwagi na potencjalne zagrożenia w związku z możliwymi awariami. 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val="en-GB"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1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Gerring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, Case Study Research Principles and Practices, Cambridge University Press 2007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2 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Yin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Studium przypadku w badaniach naukowych, Wydawnictwo Uniwersytetu Jagiellońskiego, Kraków 2015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I, 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wyd. Biuro Gamma, Warszawa 1998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4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II, wyd. Biuro Gamma, Warszawa 1999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5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Żóltowski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Wybrane zagadnienia z podstaw konstrukcji i niezawodności maszyn, Oficyna Wydawnicza Politechniki Warszawskiej, Warszawa 2004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6 Ustawa z dnia 23 lipca 2015 </w:t>
            </w:r>
            <w:r>
              <w:rPr>
                <w:rStyle w:val="Uwydatnienie"/>
                <w:rFonts w:ascii="Arial" w:hAnsi="Arial" w:cs="Arial"/>
                <w:i w:val="0"/>
                <w:color w:val="000000"/>
                <w:sz w:val="18"/>
                <w:szCs w:val="20"/>
              </w:rPr>
              <w:t>o zmianie ustawy – Prawo ochrony środowiska oraz niektórych innych ustaw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, Dz.U. poz. 1434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7 Komisja Europejska. Sprawozdanie komisji. Sprawozdanie dotyczące stosowania w państwach członkowskich dyrektywy 96/82/WE w sprawie kontroli niebezpieczeństwa poważnych awarii związanych |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br/>
              <w:t>z substancjami niebezpiecznymi za okres 2009 - 2011. </w:t>
            </w:r>
            <w:hyperlink r:id="rId4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http://ec.europa.eu/environment/seveso/pdf/reports/2009_11/1_PL_ACT_part1_v2.pdf</w:t>
              </w:r>
            </w:hyperlink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8 Member States country reports on the implementation of Seveso II. </w:t>
            </w:r>
            <w:hyperlink r:id="rId5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http://ec.europa.eu/environment/seveso/implementation.htm</w:t>
              </w:r>
            </w:hyperlink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 Dyrektywa Rady 96/82/WE z dnia 9 grudnia 1996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kontroli niebezpieczeństwa poważnych awarii związanych 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[</w:t>
            </w:r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Dyrektywa </w:t>
            </w:r>
            <w:proofErr w:type="spellStart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>Seveso</w:t>
            </w:r>
            <w:proofErr w:type="spellEnd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 II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]. Dz. Urz. WEL 10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br/>
              <w:t>z 14.01.1997 s. 1-68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Polskie Wyd. Specjalne: rozdz. 05, t. 02, s. 410-430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tekst jedn.: </w:t>
            </w:r>
            <w:hyperlink r:id="rId6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http://www.ciop.pl/</w:t>
              </w:r>
            </w:hyperlink>
            <w:r>
              <w:rPr>
                <w:rFonts w:ascii="Arial" w:hAnsi="Arial" w:cs="Arial"/>
                <w:color w:val="000000"/>
                <w:sz w:val="18"/>
                <w:szCs w:val="20"/>
              </w:rPr>
              <w:t>.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 Dyrektywa Parlamentu Europejskiego i Rady 2003/105/WE z dnia 16 grudnia 2003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zmieniająca Dyrektywę Rady 96/82/WE w sprawie kontroli niebezpieczeństwa poważnych awarii związanych 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Urz.WE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 345 z 31.12.2003, s. 97-105</w:t>
            </w:r>
            <w:r>
              <w:rPr>
                <w:rStyle w:val="Pogrubienie"/>
                <w:rFonts w:ascii="Arial" w:hAnsi="Arial" w:cs="Arial"/>
                <w:color w:val="000000"/>
                <w:sz w:val="18"/>
                <w:szCs w:val="20"/>
              </w:rPr>
              <w:t>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Polskie Wyd. Specjalne: rozdz. 05, t. 04, s. 398-406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10 Dyrektywa Parlamentu Europejskiego i Rady 2012/18/UE z dnia 4 lipca 2012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 sprawie kontroli zagrożeń poważnymi awariami związanymi z substancjami niebezpiecznymi, zmieniająca, a następnie uchylająca dyrektywę Rady 96/82/WE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[</w:t>
            </w:r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Dyrektywa </w:t>
            </w:r>
            <w:proofErr w:type="spellStart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>Seveso</w:t>
            </w:r>
            <w:proofErr w:type="spellEnd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 III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]. Dz. Urz. UE L 197 z 24.07.2012, s. 1-37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11 Decyzja Wykonawcza Komisji 2014/896/UE z dnia 10 grudnia 2014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 xml:space="preserve">ustanawiająca format przekazywania informacji od państw członkowskich na temat wdrażania dyrektywy Parlamentu Europejskiego i Rady 2012/18/UE w sprawie kontroli zagrożeń poważnymi awariami związanymi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20"/>
              </w:rPr>
              <w:br/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Urz.WE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 355 z 12.12.2014 s. 55 - 58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12 Rozporządzenie Ministra Gospodarki z dnia 10 października 2013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rodzajów i ilości substancji niebezpiecznych, których znajdowanie się w zakładzie decyduje o zaliczeniu go do zakładu o zwiększonym ryzyku albo zakładu o dużym ryzyku wystąpienia poważnej awarii przemysłowej.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Dz.U. poz. 1479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13 Rozporządzenie Ministra Środowiska z dnia 30 grudnia 2002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poważnych awarii objętych obowiązkiem zgłoszenia do Głównego Inspektora Ochrony Środowiska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Dz.U. z 2003 r. nr 5, poz. 58</w:t>
            </w:r>
          </w:p>
          <w:p w:rsidR="003825EC" w:rsidRDefault="003825E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14 Rozporządzenie Ministra Środowiska z dnia 18 maja 2016 r. zmieniające rozporządzenie w sprawie poważnych awarii objętych obowiązkiem zgłoszenia do Głównego Inspektora Ochrony Środowiska. Dz.U. poz. 799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48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1 Vademecum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bezpieczęństwa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pod redakcją O.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Wasiuta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R. Klepka, R. Kopeć, </w:t>
            </w:r>
            <w:r>
              <w:rPr>
                <w:rFonts w:ascii="Arial" w:hAnsi="Arial" w:cs="Arial"/>
                <w:sz w:val="18"/>
                <w:szCs w:val="20"/>
              </w:rPr>
              <w:t xml:space="preserve">Wydawnictwo LIBRON – Filip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Lohner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Kraków 2018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 W. Łabanowski, Użytkowanie maszyn - minimalne wymagania dotyczące bhp, Państwo Inspekcja Pracy, Warszawa 2018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 S. Borkowski,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Selejdak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Sz. Salamon, Efektywność eksploatacji maszyn i urządzeń, Wydawnictwo Wydziału Zarzadzania, Częstochowa 2006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825EC" w:rsidTr="003825E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825EC" w:rsidRDefault="003825EC">
            <w:pPr>
              <w:suppressAutoHyphens/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825EC" w:rsidTr="003825E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006CB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825EC" w:rsidTr="003825E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006CB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8</w:t>
            </w:r>
            <w:bookmarkStart w:id="0" w:name="_GoBack"/>
            <w:bookmarkEnd w:id="0"/>
          </w:p>
        </w:tc>
      </w:tr>
      <w:tr w:rsidR="003825EC" w:rsidTr="003825E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</w:t>
            </w:r>
          </w:p>
        </w:tc>
      </w:tr>
      <w:tr w:rsidR="003825EC" w:rsidTr="003825E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4</w:t>
            </w:r>
          </w:p>
        </w:tc>
      </w:tr>
      <w:tr w:rsidR="003825EC" w:rsidTr="003825E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5</w:t>
            </w:r>
          </w:p>
        </w:tc>
      </w:tr>
      <w:tr w:rsidR="003825EC" w:rsidTr="003825EC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825EC" w:rsidTr="003825E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3825EC" w:rsidTr="003825E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1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rPr>
          <w:sz w:val="22"/>
        </w:rPr>
      </w:pPr>
    </w:p>
    <w:p w:rsidR="00156AB0" w:rsidRPr="003825EC" w:rsidRDefault="00156AB0">
      <w:pPr>
        <w:rPr>
          <w:sz w:val="22"/>
          <w:szCs w:val="24"/>
        </w:rPr>
      </w:pPr>
    </w:p>
    <w:sectPr w:rsidR="00156AB0" w:rsidRPr="00382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57"/>
    <w:rsid w:val="00006CB8"/>
    <w:rsid w:val="00156AB0"/>
    <w:rsid w:val="002B592C"/>
    <w:rsid w:val="003825EC"/>
    <w:rsid w:val="0069037D"/>
    <w:rsid w:val="00727DF0"/>
    <w:rsid w:val="009A0093"/>
    <w:rsid w:val="00A412AB"/>
    <w:rsid w:val="00B25BB1"/>
    <w:rsid w:val="00C2255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0A03"/>
  <w15:chartTrackingRefBased/>
  <w15:docId w15:val="{0F7A9DDC-B7FC-4944-8461-84393F23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5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5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5EC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3825EC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3825E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25E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3825E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3825E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ord">
    <w:name w:val="word"/>
    <w:rsid w:val="003825EC"/>
  </w:style>
  <w:style w:type="character" w:styleId="Uwydatnienie">
    <w:name w:val="Emphasis"/>
    <w:basedOn w:val="Domylnaczcionkaakapitu"/>
    <w:uiPriority w:val="20"/>
    <w:qFormat/>
    <w:rsid w:val="003825EC"/>
    <w:rPr>
      <w:i/>
      <w:iCs/>
    </w:rPr>
  </w:style>
  <w:style w:type="character" w:styleId="Pogrubienie">
    <w:name w:val="Strong"/>
    <w:basedOn w:val="Domylnaczcionkaakapitu"/>
    <w:uiPriority w:val="22"/>
    <w:qFormat/>
    <w:rsid w:val="003825EC"/>
    <w:rPr>
      <w:b/>
      <w:bCs/>
    </w:rPr>
  </w:style>
  <w:style w:type="paragraph" w:customStyle="1" w:styleId="Standard">
    <w:name w:val="Standard"/>
    <w:rsid w:val="003825EC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op.pl/" TargetMode="External"/><Relationship Id="rId5" Type="http://schemas.openxmlformats.org/officeDocument/2006/relationships/hyperlink" Target="http://ec.europa.eu/environment/seveso/implementation.htm" TargetMode="External"/><Relationship Id="rId4" Type="http://schemas.openxmlformats.org/officeDocument/2006/relationships/hyperlink" Target="http://ec.europa.eu/environment/seveso/pdf/reports/2009_11/1_PL_ACT_part1_v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1301</Words>
  <Characters>7810</Characters>
  <Application>Microsoft Office Word</Application>
  <DocSecurity>0</DocSecurity>
  <Lines>65</Lines>
  <Paragraphs>18</Paragraphs>
  <ScaleCrop>false</ScaleCrop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2022-02-21T15:25:00Z</dcterms:created>
  <dcterms:modified xsi:type="dcterms:W3CDTF">2022-05-27T14:06:00Z</dcterms:modified>
</cp:coreProperties>
</file>